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D2" w:rsidRDefault="000A48D2" w:rsidP="000A48D2">
      <w:pPr>
        <w:pStyle w:val="Default"/>
        <w:jc w:val="right"/>
      </w:pPr>
    </w:p>
    <w:p w:rsidR="000A48D2" w:rsidRDefault="000A48D2" w:rsidP="000A48D2">
      <w:pPr>
        <w:pStyle w:val="Default"/>
        <w:jc w:val="center"/>
        <w:rPr>
          <w:sz w:val="20"/>
          <w:szCs w:val="20"/>
        </w:rPr>
      </w:pPr>
      <w:r>
        <w:rPr>
          <w:b/>
          <w:bCs/>
          <w:sz w:val="20"/>
          <w:szCs w:val="20"/>
        </w:rPr>
        <w:t>TIMING OUTLINE</w:t>
      </w:r>
    </w:p>
    <w:p w:rsidR="00E95105" w:rsidRDefault="00E95105" w:rsidP="000A48D2">
      <w:pPr>
        <w:pStyle w:val="Default"/>
        <w:jc w:val="center"/>
        <w:rPr>
          <w:sz w:val="20"/>
          <w:szCs w:val="20"/>
        </w:rPr>
      </w:pPr>
    </w:p>
    <w:p w:rsidR="000A48D2" w:rsidRDefault="000A48D2" w:rsidP="000A48D2">
      <w:pPr>
        <w:pStyle w:val="Default"/>
        <w:jc w:val="center"/>
        <w:rPr>
          <w:sz w:val="20"/>
          <w:szCs w:val="20"/>
        </w:rPr>
      </w:pPr>
      <w:r>
        <w:rPr>
          <w:sz w:val="20"/>
          <w:szCs w:val="20"/>
        </w:rPr>
        <w:t>“</w:t>
      </w:r>
      <w:r w:rsidR="00F90B09">
        <w:rPr>
          <w:sz w:val="20"/>
          <w:szCs w:val="20"/>
        </w:rPr>
        <w:t>Theft of Trade Secrets Best Practices</w:t>
      </w:r>
      <w:r>
        <w:rPr>
          <w:sz w:val="20"/>
          <w:szCs w:val="20"/>
        </w:rPr>
        <w:t>”</w:t>
      </w:r>
    </w:p>
    <w:p w:rsidR="000A48D2" w:rsidRDefault="000A48D2" w:rsidP="000A48D2">
      <w:pPr>
        <w:pStyle w:val="Default"/>
        <w:jc w:val="center"/>
        <w:rPr>
          <w:sz w:val="20"/>
          <w:szCs w:val="20"/>
        </w:rPr>
      </w:pPr>
    </w:p>
    <w:p w:rsidR="000A48D2" w:rsidRDefault="00F90B09" w:rsidP="000A48D2">
      <w:pPr>
        <w:pStyle w:val="Default"/>
        <w:rPr>
          <w:sz w:val="20"/>
          <w:szCs w:val="20"/>
        </w:rPr>
      </w:pPr>
      <w:r>
        <w:rPr>
          <w:sz w:val="20"/>
          <w:szCs w:val="20"/>
        </w:rPr>
        <w:t xml:space="preserve">This class will provide students with a defined roadmap and checklist of steps one may take when presented with the specter of trade secret related significant business threats.  Important subjects covered in the class include defining “win” scenarios upfront to avoid mission creep, </w:t>
      </w:r>
      <w:r w:rsidR="00984914">
        <w:rPr>
          <w:sz w:val="20"/>
          <w:szCs w:val="20"/>
        </w:rPr>
        <w:t>working with outside counsel and a 3</w:t>
      </w:r>
      <w:r w:rsidR="00984914" w:rsidRPr="00984914">
        <w:rPr>
          <w:sz w:val="20"/>
          <w:szCs w:val="20"/>
          <w:vertAlign w:val="superscript"/>
        </w:rPr>
        <w:t>rd</w:t>
      </w:r>
      <w:r w:rsidR="00984914">
        <w:rPr>
          <w:sz w:val="20"/>
          <w:szCs w:val="20"/>
        </w:rPr>
        <w:t xml:space="preserve"> party computer forensic expert, the identification, preservation and analysis of evidence to inform appropriate actions, special considerations for handling of smartphone based evidence, leveraging evidence derived from smartphones, reasonable steps to take to preserve attorney-client communication security, and the acquisition of phone and text records via a subpoena.</w:t>
      </w:r>
    </w:p>
    <w:p w:rsidR="000A48D2" w:rsidRDefault="000A48D2" w:rsidP="000A48D2">
      <w:pPr>
        <w:pStyle w:val="Default"/>
        <w:rPr>
          <w:sz w:val="20"/>
          <w:szCs w:val="20"/>
        </w:rPr>
      </w:pPr>
    </w:p>
    <w:p w:rsidR="000A48D2" w:rsidRDefault="000A48D2" w:rsidP="000A48D2">
      <w:pPr>
        <w:pStyle w:val="Default"/>
        <w:rPr>
          <w:sz w:val="20"/>
          <w:szCs w:val="20"/>
        </w:rPr>
      </w:pPr>
      <w:r>
        <w:rPr>
          <w:sz w:val="20"/>
          <w:szCs w:val="20"/>
        </w:rPr>
        <w:t xml:space="preserve">Audiences: Attorneys, Litigation Paralegals, I.T. Professionals and Corporate Litigation Counsel </w:t>
      </w:r>
    </w:p>
    <w:p w:rsidR="000A48D2" w:rsidRDefault="000A48D2" w:rsidP="000A48D2">
      <w:pPr>
        <w:pStyle w:val="Default"/>
        <w:rPr>
          <w:sz w:val="20"/>
          <w:szCs w:val="20"/>
        </w:rPr>
      </w:pPr>
    </w:p>
    <w:p w:rsidR="000A48D2" w:rsidRDefault="000A48D2" w:rsidP="000A48D2">
      <w:pPr>
        <w:pStyle w:val="Default"/>
        <w:rPr>
          <w:sz w:val="20"/>
          <w:szCs w:val="20"/>
        </w:rPr>
      </w:pPr>
      <w:r>
        <w:rPr>
          <w:sz w:val="20"/>
          <w:szCs w:val="20"/>
        </w:rPr>
        <w:t xml:space="preserve">Sponsor: HaystackID </w:t>
      </w:r>
      <w:r w:rsidR="00984914">
        <w:rPr>
          <w:sz w:val="20"/>
          <w:szCs w:val="20"/>
        </w:rPr>
        <w:t>LLC</w:t>
      </w:r>
      <w:bookmarkStart w:id="0" w:name="_GoBack"/>
      <w:bookmarkEnd w:id="0"/>
    </w:p>
    <w:p w:rsidR="000A48D2" w:rsidRDefault="000A48D2" w:rsidP="000A48D2">
      <w:pPr>
        <w:pStyle w:val="Default"/>
        <w:rPr>
          <w:sz w:val="20"/>
          <w:szCs w:val="20"/>
        </w:rPr>
      </w:pPr>
    </w:p>
    <w:p w:rsidR="000A48D2" w:rsidRDefault="00F90B09" w:rsidP="000A48D2">
      <w:pPr>
        <w:pStyle w:val="Default"/>
        <w:rPr>
          <w:sz w:val="20"/>
          <w:szCs w:val="20"/>
        </w:rPr>
      </w:pPr>
      <w:r>
        <w:rPr>
          <w:sz w:val="20"/>
          <w:szCs w:val="20"/>
        </w:rPr>
        <w:t xml:space="preserve">Faculty: Larry Lieb, CCPA, Michael Sarlo, </w:t>
      </w:r>
      <w:proofErr w:type="spellStart"/>
      <w:r>
        <w:rPr>
          <w:sz w:val="20"/>
          <w:szCs w:val="20"/>
        </w:rPr>
        <w:t>EnCE</w:t>
      </w:r>
      <w:proofErr w:type="spellEnd"/>
      <w:r>
        <w:rPr>
          <w:sz w:val="20"/>
          <w:szCs w:val="20"/>
        </w:rPr>
        <w:t>, Andy Parrish</w:t>
      </w:r>
    </w:p>
    <w:p w:rsidR="000A48D2" w:rsidRDefault="000A48D2" w:rsidP="000A48D2">
      <w:pPr>
        <w:pStyle w:val="Default"/>
        <w:rPr>
          <w:sz w:val="20"/>
          <w:szCs w:val="20"/>
        </w:rPr>
      </w:pPr>
    </w:p>
    <w:p w:rsidR="000A48D2" w:rsidRDefault="000A48D2" w:rsidP="000A48D2">
      <w:pPr>
        <w:pStyle w:val="Default"/>
        <w:rPr>
          <w:sz w:val="20"/>
          <w:szCs w:val="20"/>
        </w:rPr>
      </w:pPr>
      <w:r>
        <w:rPr>
          <w:sz w:val="20"/>
          <w:szCs w:val="20"/>
        </w:rPr>
        <w:t xml:space="preserve">TOPIC TIMING/MINUTES </w:t>
      </w:r>
    </w:p>
    <w:p w:rsidR="000A48D2" w:rsidRDefault="000A48D2" w:rsidP="000A48D2">
      <w:pPr>
        <w:pStyle w:val="Default"/>
        <w:rPr>
          <w:sz w:val="20"/>
          <w:szCs w:val="20"/>
        </w:rPr>
      </w:pPr>
    </w:p>
    <w:p w:rsidR="000A48D2" w:rsidRDefault="000A48D2" w:rsidP="000A48D2">
      <w:pPr>
        <w:pStyle w:val="Default"/>
        <w:rPr>
          <w:sz w:val="20"/>
          <w:szCs w:val="20"/>
        </w:rPr>
      </w:pPr>
      <w:r w:rsidRPr="00E95105">
        <w:rPr>
          <w:b/>
          <w:sz w:val="20"/>
          <w:szCs w:val="20"/>
        </w:rPr>
        <w:t>Welcome/Introduction</w:t>
      </w:r>
      <w:r>
        <w:rPr>
          <w:sz w:val="20"/>
          <w:szCs w:val="20"/>
        </w:rPr>
        <w:t xml:space="preserve"> </w:t>
      </w:r>
      <w:r w:rsidR="00E95105">
        <w:rPr>
          <w:sz w:val="20"/>
          <w:szCs w:val="20"/>
        </w:rPr>
        <w:tab/>
      </w:r>
      <w:r w:rsidR="00E95105">
        <w:rPr>
          <w:sz w:val="20"/>
          <w:szCs w:val="20"/>
        </w:rPr>
        <w:tab/>
      </w:r>
      <w:r w:rsidR="00E95105">
        <w:rPr>
          <w:sz w:val="20"/>
          <w:szCs w:val="20"/>
        </w:rPr>
        <w:tab/>
      </w:r>
      <w:r w:rsidR="00E95105">
        <w:rPr>
          <w:sz w:val="20"/>
          <w:szCs w:val="20"/>
        </w:rPr>
        <w:tab/>
      </w:r>
      <w:r w:rsidR="00E95105">
        <w:rPr>
          <w:sz w:val="20"/>
          <w:szCs w:val="20"/>
        </w:rPr>
        <w:tab/>
      </w:r>
      <w:r w:rsidR="00E95105">
        <w:rPr>
          <w:sz w:val="20"/>
          <w:szCs w:val="20"/>
        </w:rPr>
        <w:tab/>
      </w:r>
      <w:r w:rsidR="00E95105">
        <w:rPr>
          <w:sz w:val="20"/>
          <w:szCs w:val="20"/>
        </w:rPr>
        <w:tab/>
      </w:r>
      <w:r w:rsidR="00E95105">
        <w:rPr>
          <w:sz w:val="20"/>
          <w:szCs w:val="20"/>
        </w:rPr>
        <w:tab/>
      </w:r>
      <w:r w:rsidR="00E95105">
        <w:rPr>
          <w:sz w:val="20"/>
          <w:szCs w:val="20"/>
        </w:rPr>
        <w:tab/>
      </w:r>
      <w:r w:rsidR="00E95105">
        <w:rPr>
          <w:sz w:val="20"/>
          <w:szCs w:val="20"/>
        </w:rPr>
        <w:tab/>
        <w:t xml:space="preserve">          </w:t>
      </w:r>
      <w:r>
        <w:rPr>
          <w:sz w:val="20"/>
          <w:szCs w:val="20"/>
        </w:rPr>
        <w:t xml:space="preserve">3 </w:t>
      </w:r>
    </w:p>
    <w:p w:rsidR="000A48D2" w:rsidRDefault="000A48D2" w:rsidP="000A48D2">
      <w:pPr>
        <w:pStyle w:val="Default"/>
        <w:rPr>
          <w:sz w:val="20"/>
          <w:szCs w:val="20"/>
        </w:rPr>
      </w:pPr>
      <w:r w:rsidRPr="00E95105">
        <w:rPr>
          <w:b/>
          <w:sz w:val="20"/>
          <w:szCs w:val="20"/>
        </w:rPr>
        <w:t>Course Objectives, applicable credit, sign-in, forms and certificates</w:t>
      </w:r>
      <w:r>
        <w:rPr>
          <w:sz w:val="20"/>
          <w:szCs w:val="20"/>
        </w:rPr>
        <w:t xml:space="preserve"> </w:t>
      </w:r>
      <w:r w:rsidR="00E95105">
        <w:rPr>
          <w:sz w:val="20"/>
          <w:szCs w:val="20"/>
        </w:rPr>
        <w:tab/>
      </w:r>
      <w:r w:rsidR="00E95105">
        <w:rPr>
          <w:sz w:val="20"/>
          <w:szCs w:val="20"/>
        </w:rPr>
        <w:tab/>
      </w:r>
      <w:r w:rsidR="00E95105">
        <w:rPr>
          <w:sz w:val="20"/>
          <w:szCs w:val="20"/>
        </w:rPr>
        <w:tab/>
      </w:r>
      <w:r w:rsidR="00E95105">
        <w:rPr>
          <w:sz w:val="20"/>
          <w:szCs w:val="20"/>
        </w:rPr>
        <w:tab/>
        <w:t xml:space="preserve">          </w:t>
      </w:r>
      <w:r>
        <w:rPr>
          <w:sz w:val="20"/>
          <w:szCs w:val="20"/>
        </w:rPr>
        <w:t xml:space="preserve">5 </w:t>
      </w:r>
    </w:p>
    <w:p w:rsidR="000A48D2" w:rsidRDefault="000A48D2" w:rsidP="000A48D2">
      <w:pPr>
        <w:pStyle w:val="Default"/>
        <w:rPr>
          <w:sz w:val="20"/>
          <w:szCs w:val="20"/>
        </w:rPr>
      </w:pPr>
      <w:r w:rsidRPr="00E95105">
        <w:rPr>
          <w:b/>
          <w:sz w:val="20"/>
          <w:szCs w:val="20"/>
        </w:rPr>
        <w:t>Review of Agenda</w:t>
      </w:r>
      <w:r>
        <w:rPr>
          <w:sz w:val="20"/>
          <w:szCs w:val="20"/>
        </w:rPr>
        <w:t xml:space="preserve"> </w:t>
      </w:r>
      <w:r w:rsidR="00E95105">
        <w:rPr>
          <w:sz w:val="20"/>
          <w:szCs w:val="20"/>
        </w:rPr>
        <w:t xml:space="preserve">                                                                                                                                      </w:t>
      </w:r>
      <w:r>
        <w:rPr>
          <w:sz w:val="20"/>
          <w:szCs w:val="20"/>
        </w:rPr>
        <w:t xml:space="preserve">2 </w:t>
      </w:r>
    </w:p>
    <w:p w:rsidR="00F90B09" w:rsidRDefault="00F90B09" w:rsidP="00F90B09">
      <w:pPr>
        <w:pStyle w:val="Default"/>
        <w:rPr>
          <w:sz w:val="20"/>
          <w:szCs w:val="20"/>
        </w:rPr>
      </w:pPr>
      <w:r w:rsidRPr="00E95105">
        <w:rPr>
          <w:b/>
          <w:sz w:val="20"/>
          <w:szCs w:val="20"/>
        </w:rPr>
        <w:t xml:space="preserve">SECTION I: </w:t>
      </w:r>
      <w:r w:rsidRPr="00F90B09">
        <w:rPr>
          <w:b/>
          <w:bCs/>
          <w:sz w:val="20"/>
          <w:szCs w:val="20"/>
        </w:rPr>
        <w:t>Defining When One Should Reasonably Panic</w:t>
      </w:r>
      <w:r>
        <w:rPr>
          <w:sz w:val="20"/>
          <w:szCs w:val="20"/>
        </w:rPr>
        <w:t xml:space="preserve">                                                                  </w:t>
      </w:r>
      <w:r>
        <w:rPr>
          <w:sz w:val="20"/>
          <w:szCs w:val="20"/>
        </w:rPr>
        <w:t xml:space="preserve">  3</w:t>
      </w:r>
      <w:r>
        <w:rPr>
          <w:sz w:val="20"/>
          <w:szCs w:val="20"/>
        </w:rPr>
        <w:t xml:space="preserve"> </w:t>
      </w:r>
    </w:p>
    <w:p w:rsidR="00F90B09" w:rsidRDefault="00F90B09" w:rsidP="00F90B09">
      <w:pPr>
        <w:pStyle w:val="Default"/>
        <w:rPr>
          <w:sz w:val="20"/>
          <w:szCs w:val="20"/>
        </w:rPr>
      </w:pPr>
      <w:r>
        <w:rPr>
          <w:sz w:val="20"/>
          <w:szCs w:val="20"/>
        </w:rPr>
        <w:t xml:space="preserve">_ </w:t>
      </w:r>
      <w:r w:rsidRPr="00F90B09">
        <w:rPr>
          <w:sz w:val="20"/>
          <w:szCs w:val="20"/>
        </w:rPr>
        <w:t>Triage Steps t</w:t>
      </w:r>
      <w:r w:rsidR="00246A49">
        <w:rPr>
          <w:sz w:val="20"/>
          <w:szCs w:val="20"/>
        </w:rPr>
        <w:t xml:space="preserve">o Take </w:t>
      </w:r>
      <w:proofErr w:type="gramStart"/>
      <w:r w:rsidR="00246A49">
        <w:rPr>
          <w:sz w:val="20"/>
          <w:szCs w:val="20"/>
        </w:rPr>
        <w:t>in Order to</w:t>
      </w:r>
      <w:proofErr w:type="gramEnd"/>
      <w:r w:rsidR="00246A49">
        <w:rPr>
          <w:sz w:val="20"/>
          <w:szCs w:val="20"/>
        </w:rPr>
        <w:t xml:space="preserve"> Identify if </w:t>
      </w:r>
      <w:r w:rsidRPr="00F90B09">
        <w:rPr>
          <w:sz w:val="20"/>
          <w:szCs w:val="20"/>
        </w:rPr>
        <w:t>There is Only Smoke or an Actual Fire</w:t>
      </w:r>
    </w:p>
    <w:p w:rsidR="00F90B09" w:rsidRPr="00F90B09" w:rsidRDefault="00F90B09" w:rsidP="00F90B09">
      <w:pPr>
        <w:pStyle w:val="Default"/>
        <w:rPr>
          <w:sz w:val="20"/>
          <w:szCs w:val="20"/>
        </w:rPr>
      </w:pPr>
      <w:r>
        <w:rPr>
          <w:sz w:val="20"/>
          <w:szCs w:val="20"/>
        </w:rPr>
        <w:t xml:space="preserve">_ </w:t>
      </w:r>
      <w:r w:rsidRPr="00F90B09">
        <w:rPr>
          <w:sz w:val="20"/>
          <w:szCs w:val="20"/>
        </w:rPr>
        <w:t>Engagement of Outside Counsel and Computer Forensic Expert</w:t>
      </w:r>
    </w:p>
    <w:p w:rsidR="00F90B09" w:rsidRDefault="00F90B09" w:rsidP="00F90B09">
      <w:pPr>
        <w:pStyle w:val="Default"/>
        <w:rPr>
          <w:sz w:val="20"/>
          <w:szCs w:val="20"/>
        </w:rPr>
      </w:pPr>
      <w:r>
        <w:rPr>
          <w:b/>
          <w:sz w:val="20"/>
          <w:szCs w:val="20"/>
        </w:rPr>
        <w:t>SECTION II</w:t>
      </w:r>
      <w:r w:rsidRPr="00E95105">
        <w:rPr>
          <w:b/>
          <w:sz w:val="20"/>
          <w:szCs w:val="20"/>
        </w:rPr>
        <w:t xml:space="preserve">: </w:t>
      </w:r>
      <w:r w:rsidRPr="00F90B09">
        <w:rPr>
          <w:b/>
          <w:bCs/>
          <w:sz w:val="20"/>
          <w:szCs w:val="20"/>
        </w:rPr>
        <w:t>The Importance of Defining “Win” Upfront a</w:t>
      </w:r>
      <w:r>
        <w:rPr>
          <w:b/>
          <w:bCs/>
          <w:sz w:val="20"/>
          <w:szCs w:val="20"/>
        </w:rPr>
        <w:t xml:space="preserve">nd </w:t>
      </w:r>
      <w:r w:rsidRPr="00F90B09">
        <w:rPr>
          <w:b/>
          <w:bCs/>
          <w:sz w:val="20"/>
          <w:szCs w:val="20"/>
        </w:rPr>
        <w:t>the Avoidance of Mission Creep</w:t>
      </w:r>
      <w:r>
        <w:rPr>
          <w:sz w:val="20"/>
          <w:szCs w:val="20"/>
        </w:rPr>
        <w:t xml:space="preserve">   </w:t>
      </w:r>
      <w:r>
        <w:rPr>
          <w:sz w:val="20"/>
          <w:szCs w:val="20"/>
        </w:rPr>
        <w:t xml:space="preserve">       5</w:t>
      </w:r>
      <w:r>
        <w:rPr>
          <w:sz w:val="20"/>
          <w:szCs w:val="20"/>
        </w:rPr>
        <w:t xml:space="preserve">                                                              </w:t>
      </w:r>
    </w:p>
    <w:p w:rsidR="00F90B09" w:rsidRDefault="00F90B09" w:rsidP="00F90B09">
      <w:pPr>
        <w:pStyle w:val="Default"/>
        <w:rPr>
          <w:sz w:val="20"/>
          <w:szCs w:val="20"/>
        </w:rPr>
      </w:pPr>
      <w:r>
        <w:rPr>
          <w:sz w:val="20"/>
          <w:szCs w:val="20"/>
        </w:rPr>
        <w:t xml:space="preserve">_ </w:t>
      </w:r>
      <w:r w:rsidRPr="00F90B09">
        <w:rPr>
          <w:sz w:val="20"/>
          <w:szCs w:val="20"/>
        </w:rPr>
        <w:t>Example Definitions of “Win”</w:t>
      </w:r>
    </w:p>
    <w:p w:rsidR="00F90B09" w:rsidRPr="00F90B09" w:rsidRDefault="00F90B09" w:rsidP="00F90B09">
      <w:pPr>
        <w:pStyle w:val="Default"/>
        <w:rPr>
          <w:sz w:val="20"/>
          <w:szCs w:val="20"/>
        </w:rPr>
      </w:pPr>
      <w:r>
        <w:rPr>
          <w:sz w:val="20"/>
          <w:szCs w:val="20"/>
        </w:rPr>
        <w:t xml:space="preserve">_ </w:t>
      </w:r>
      <w:r>
        <w:rPr>
          <w:sz w:val="20"/>
          <w:szCs w:val="20"/>
        </w:rPr>
        <w:t xml:space="preserve">A Trade Secret as Defined by </w:t>
      </w:r>
      <w:r w:rsidRPr="00F90B09">
        <w:rPr>
          <w:sz w:val="20"/>
          <w:szCs w:val="20"/>
        </w:rPr>
        <w:t>Defend Trade Secrets Act of 2016 - S.1890</w:t>
      </w:r>
    </w:p>
    <w:p w:rsidR="00F90B09" w:rsidRDefault="00F90B09" w:rsidP="000A48D2">
      <w:pPr>
        <w:pStyle w:val="Default"/>
        <w:rPr>
          <w:sz w:val="20"/>
          <w:szCs w:val="20"/>
        </w:rPr>
      </w:pPr>
      <w:r>
        <w:rPr>
          <w:sz w:val="20"/>
          <w:szCs w:val="20"/>
        </w:rPr>
        <w:t>_</w:t>
      </w:r>
      <w:r>
        <w:rPr>
          <w:sz w:val="20"/>
          <w:szCs w:val="20"/>
        </w:rPr>
        <w:t xml:space="preserve"> </w:t>
      </w:r>
      <w:r w:rsidRPr="00F90B09">
        <w:rPr>
          <w:sz w:val="20"/>
          <w:szCs w:val="20"/>
        </w:rPr>
        <w:t>Improper Misappropriation as Defined By 18 U.S.C. § 1839(5) (A) and (6)(B)</w:t>
      </w:r>
    </w:p>
    <w:p w:rsidR="00F90B09" w:rsidRDefault="00F90B09" w:rsidP="000A48D2">
      <w:pPr>
        <w:pStyle w:val="Default"/>
        <w:rPr>
          <w:b/>
          <w:sz w:val="20"/>
          <w:szCs w:val="20"/>
        </w:rPr>
      </w:pPr>
      <w:r>
        <w:rPr>
          <w:sz w:val="20"/>
          <w:szCs w:val="20"/>
        </w:rPr>
        <w:t>_</w:t>
      </w:r>
      <w:r>
        <w:rPr>
          <w:sz w:val="20"/>
          <w:szCs w:val="20"/>
        </w:rPr>
        <w:t xml:space="preserve"> </w:t>
      </w:r>
      <w:r w:rsidR="00246A49" w:rsidRPr="00246A49">
        <w:rPr>
          <w:sz w:val="20"/>
          <w:szCs w:val="20"/>
        </w:rPr>
        <w:t xml:space="preserve">18 USC 1030: Fraud and related activity </w:t>
      </w:r>
      <w:proofErr w:type="gramStart"/>
      <w:r w:rsidR="00246A49" w:rsidRPr="00246A49">
        <w:rPr>
          <w:sz w:val="20"/>
          <w:szCs w:val="20"/>
        </w:rPr>
        <w:t>in connection with</w:t>
      </w:r>
      <w:proofErr w:type="gramEnd"/>
      <w:r w:rsidR="00246A49" w:rsidRPr="00246A49">
        <w:rPr>
          <w:sz w:val="20"/>
          <w:szCs w:val="20"/>
        </w:rPr>
        <w:t xml:space="preserve"> computers</w:t>
      </w:r>
    </w:p>
    <w:p w:rsidR="00F90B09" w:rsidRDefault="00246A49" w:rsidP="000A48D2">
      <w:pPr>
        <w:pStyle w:val="Default"/>
        <w:rPr>
          <w:sz w:val="20"/>
          <w:szCs w:val="20"/>
        </w:rPr>
      </w:pPr>
      <w:r>
        <w:rPr>
          <w:sz w:val="20"/>
          <w:szCs w:val="20"/>
        </w:rPr>
        <w:t>_</w:t>
      </w:r>
      <w:r>
        <w:rPr>
          <w:sz w:val="20"/>
          <w:szCs w:val="20"/>
        </w:rPr>
        <w:t xml:space="preserve"> </w:t>
      </w:r>
      <w:r w:rsidRPr="00246A49">
        <w:rPr>
          <w:sz w:val="20"/>
          <w:szCs w:val="20"/>
        </w:rPr>
        <w:t>“Win” in the Form of Injunctive Relief</w:t>
      </w:r>
    </w:p>
    <w:p w:rsidR="00246A49" w:rsidRDefault="00246A49" w:rsidP="000A48D2">
      <w:pPr>
        <w:pStyle w:val="Default"/>
        <w:rPr>
          <w:sz w:val="20"/>
          <w:szCs w:val="20"/>
        </w:rPr>
      </w:pPr>
      <w:r>
        <w:rPr>
          <w:sz w:val="20"/>
          <w:szCs w:val="20"/>
        </w:rPr>
        <w:t>_</w:t>
      </w:r>
      <w:r>
        <w:rPr>
          <w:sz w:val="20"/>
          <w:szCs w:val="20"/>
        </w:rPr>
        <w:t xml:space="preserve"> </w:t>
      </w:r>
      <w:r w:rsidRPr="00246A49">
        <w:rPr>
          <w:sz w:val="20"/>
          <w:szCs w:val="20"/>
        </w:rPr>
        <w:t>Restrictive Covenants / Departing Employees</w:t>
      </w:r>
    </w:p>
    <w:p w:rsidR="000A48D2" w:rsidRDefault="000A48D2" w:rsidP="000A48D2">
      <w:pPr>
        <w:pStyle w:val="Default"/>
        <w:rPr>
          <w:sz w:val="20"/>
          <w:szCs w:val="20"/>
        </w:rPr>
      </w:pPr>
      <w:r w:rsidRPr="00E95105">
        <w:rPr>
          <w:b/>
          <w:sz w:val="20"/>
          <w:szCs w:val="20"/>
        </w:rPr>
        <w:t xml:space="preserve">SECTION </w:t>
      </w:r>
      <w:r w:rsidR="00246A49">
        <w:rPr>
          <w:b/>
          <w:sz w:val="20"/>
          <w:szCs w:val="20"/>
        </w:rPr>
        <w:t>II</w:t>
      </w:r>
      <w:r w:rsidRPr="00E95105">
        <w:rPr>
          <w:b/>
          <w:sz w:val="20"/>
          <w:szCs w:val="20"/>
        </w:rPr>
        <w:t xml:space="preserve">I: </w:t>
      </w:r>
      <w:r w:rsidR="00246A49" w:rsidRPr="00246A49">
        <w:rPr>
          <w:b/>
          <w:bCs/>
          <w:sz w:val="20"/>
          <w:szCs w:val="20"/>
        </w:rPr>
        <w:t>Steps to Identify Custodians of Evidence Potentially Relevant to the Dispute</w:t>
      </w:r>
      <w:r w:rsidR="00246A49">
        <w:rPr>
          <w:b/>
          <w:bCs/>
          <w:sz w:val="20"/>
          <w:szCs w:val="20"/>
        </w:rPr>
        <w:t xml:space="preserve">              5</w:t>
      </w:r>
      <w:r>
        <w:rPr>
          <w:sz w:val="20"/>
          <w:szCs w:val="20"/>
        </w:rPr>
        <w:t xml:space="preserve"> </w:t>
      </w:r>
    </w:p>
    <w:p w:rsidR="000A48D2" w:rsidRDefault="000A48D2" w:rsidP="000A48D2">
      <w:pPr>
        <w:pStyle w:val="Default"/>
        <w:rPr>
          <w:sz w:val="20"/>
          <w:szCs w:val="20"/>
        </w:rPr>
      </w:pPr>
      <w:r>
        <w:rPr>
          <w:sz w:val="20"/>
          <w:szCs w:val="20"/>
        </w:rPr>
        <w:t xml:space="preserve">_ </w:t>
      </w:r>
      <w:r w:rsidR="00246A49" w:rsidRPr="00246A49">
        <w:rPr>
          <w:sz w:val="20"/>
          <w:szCs w:val="20"/>
        </w:rPr>
        <w:t>Identify Dispute-Specific Custodians of Evidence</w:t>
      </w:r>
      <w:r>
        <w:rPr>
          <w:sz w:val="20"/>
          <w:szCs w:val="20"/>
        </w:rPr>
        <w:t xml:space="preserve"> </w:t>
      </w:r>
    </w:p>
    <w:p w:rsidR="00246A49" w:rsidRPr="00246A49" w:rsidRDefault="00246A49" w:rsidP="000A48D2">
      <w:pPr>
        <w:pStyle w:val="Default"/>
        <w:rPr>
          <w:sz w:val="20"/>
          <w:szCs w:val="20"/>
        </w:rPr>
      </w:pPr>
      <w:r>
        <w:rPr>
          <w:sz w:val="20"/>
          <w:szCs w:val="20"/>
        </w:rPr>
        <w:t xml:space="preserve">_ </w:t>
      </w:r>
      <w:r w:rsidRPr="00246A49">
        <w:rPr>
          <w:sz w:val="20"/>
          <w:szCs w:val="20"/>
        </w:rPr>
        <w:t>The Importance and Timing of Issuing an Upjohn Letter</w:t>
      </w:r>
    </w:p>
    <w:p w:rsidR="000A48D2" w:rsidRPr="00246A49" w:rsidRDefault="00246A49" w:rsidP="000A48D2">
      <w:pPr>
        <w:pStyle w:val="Default"/>
        <w:rPr>
          <w:sz w:val="20"/>
          <w:szCs w:val="20"/>
        </w:rPr>
      </w:pPr>
      <w:r>
        <w:rPr>
          <w:b/>
          <w:sz w:val="20"/>
          <w:szCs w:val="20"/>
        </w:rPr>
        <w:t>SECTION IV</w:t>
      </w:r>
      <w:r w:rsidR="000A48D2" w:rsidRPr="00E95105">
        <w:rPr>
          <w:b/>
          <w:sz w:val="20"/>
          <w:szCs w:val="20"/>
        </w:rPr>
        <w:t xml:space="preserve">: </w:t>
      </w:r>
      <w:r>
        <w:rPr>
          <w:b/>
          <w:sz w:val="20"/>
          <w:szCs w:val="20"/>
        </w:rPr>
        <w:t xml:space="preserve">The Investigation Evidence Map </w:t>
      </w:r>
      <w:r w:rsidRPr="00246A49">
        <w:rPr>
          <w:sz w:val="20"/>
          <w:szCs w:val="20"/>
        </w:rPr>
        <w:t xml:space="preserve">                                </w:t>
      </w:r>
      <w:r w:rsidR="00E95105" w:rsidRPr="00246A49">
        <w:rPr>
          <w:sz w:val="20"/>
          <w:szCs w:val="20"/>
        </w:rPr>
        <w:t xml:space="preserve"> </w:t>
      </w:r>
      <w:r w:rsidRPr="00246A49">
        <w:rPr>
          <w:sz w:val="20"/>
          <w:szCs w:val="20"/>
        </w:rPr>
        <w:t xml:space="preserve">                                                       5</w:t>
      </w:r>
      <w:r w:rsidR="000A48D2" w:rsidRPr="00246A49">
        <w:rPr>
          <w:sz w:val="20"/>
          <w:szCs w:val="20"/>
        </w:rPr>
        <w:t xml:space="preserve"> </w:t>
      </w:r>
    </w:p>
    <w:p w:rsidR="000A48D2" w:rsidRDefault="000A48D2" w:rsidP="000A48D2">
      <w:pPr>
        <w:pStyle w:val="Default"/>
        <w:rPr>
          <w:sz w:val="20"/>
          <w:szCs w:val="20"/>
        </w:rPr>
      </w:pPr>
      <w:r w:rsidRPr="00246A49">
        <w:rPr>
          <w:sz w:val="20"/>
          <w:szCs w:val="20"/>
        </w:rPr>
        <w:t xml:space="preserve">_ </w:t>
      </w:r>
      <w:r w:rsidR="00246A49" w:rsidRPr="00246A49">
        <w:rPr>
          <w:bCs/>
          <w:sz w:val="20"/>
          <w:szCs w:val="20"/>
        </w:rPr>
        <w:t>Investigation Evidence Mapping Philosophy</w:t>
      </w:r>
      <w:r>
        <w:rPr>
          <w:sz w:val="20"/>
          <w:szCs w:val="20"/>
        </w:rPr>
        <w:t xml:space="preserve"> </w:t>
      </w:r>
    </w:p>
    <w:p w:rsidR="00246A49" w:rsidRDefault="00246A49" w:rsidP="00246A49">
      <w:pPr>
        <w:pStyle w:val="Default"/>
        <w:rPr>
          <w:bCs/>
          <w:sz w:val="20"/>
          <w:szCs w:val="20"/>
        </w:rPr>
      </w:pPr>
      <w:r w:rsidRPr="00246A49">
        <w:rPr>
          <w:sz w:val="20"/>
          <w:szCs w:val="20"/>
        </w:rPr>
        <w:t xml:space="preserve">_ </w:t>
      </w:r>
      <w:r w:rsidRPr="00246A49">
        <w:rPr>
          <w:bCs/>
          <w:sz w:val="20"/>
          <w:szCs w:val="20"/>
        </w:rPr>
        <w:t xml:space="preserve">Critical Dates </w:t>
      </w:r>
      <w:proofErr w:type="gramStart"/>
      <w:r w:rsidRPr="00246A49">
        <w:rPr>
          <w:bCs/>
          <w:sz w:val="20"/>
          <w:szCs w:val="20"/>
        </w:rPr>
        <w:t>To</w:t>
      </w:r>
      <w:proofErr w:type="gramEnd"/>
      <w:r w:rsidRPr="00246A49">
        <w:rPr>
          <w:bCs/>
          <w:sz w:val="20"/>
          <w:szCs w:val="20"/>
        </w:rPr>
        <w:t xml:space="preserve"> Confirm and Track In The Map</w:t>
      </w:r>
    </w:p>
    <w:p w:rsidR="00246A49" w:rsidRDefault="00246A49" w:rsidP="00246A49">
      <w:pPr>
        <w:pStyle w:val="Default"/>
        <w:rPr>
          <w:sz w:val="20"/>
          <w:szCs w:val="20"/>
        </w:rPr>
      </w:pPr>
      <w:r w:rsidRPr="00246A49">
        <w:rPr>
          <w:sz w:val="20"/>
          <w:szCs w:val="20"/>
        </w:rPr>
        <w:t>_</w:t>
      </w:r>
      <w:r>
        <w:rPr>
          <w:sz w:val="20"/>
          <w:szCs w:val="20"/>
        </w:rPr>
        <w:t xml:space="preserve"> </w:t>
      </w:r>
      <w:r w:rsidRPr="00246A49">
        <w:rPr>
          <w:sz w:val="20"/>
          <w:szCs w:val="20"/>
        </w:rPr>
        <w:t>IT Custodial Interview Questions to Ask and Record in Evidence Map’s “IT QUESTIONS” Tab</w:t>
      </w:r>
    </w:p>
    <w:p w:rsidR="00246A49" w:rsidRDefault="00246A49" w:rsidP="00246A49">
      <w:pPr>
        <w:pStyle w:val="Default"/>
        <w:rPr>
          <w:sz w:val="20"/>
          <w:szCs w:val="20"/>
        </w:rPr>
      </w:pPr>
      <w:r w:rsidRPr="00246A49">
        <w:rPr>
          <w:sz w:val="20"/>
          <w:szCs w:val="20"/>
        </w:rPr>
        <w:t>_</w:t>
      </w:r>
      <w:r>
        <w:rPr>
          <w:sz w:val="20"/>
          <w:szCs w:val="20"/>
        </w:rPr>
        <w:t xml:space="preserve"> Individual Custodian Interviews</w:t>
      </w:r>
    </w:p>
    <w:p w:rsidR="00246A49" w:rsidRDefault="00246A49" w:rsidP="00246A49">
      <w:pPr>
        <w:pStyle w:val="Default"/>
        <w:rPr>
          <w:sz w:val="20"/>
          <w:szCs w:val="20"/>
        </w:rPr>
      </w:pPr>
      <w:r w:rsidRPr="00246A49">
        <w:rPr>
          <w:sz w:val="20"/>
          <w:szCs w:val="20"/>
        </w:rPr>
        <w:t>_</w:t>
      </w:r>
      <w:r>
        <w:rPr>
          <w:sz w:val="20"/>
          <w:szCs w:val="20"/>
        </w:rPr>
        <w:t xml:space="preserve"> Immediate Steps for Evidence Preservation</w:t>
      </w:r>
    </w:p>
    <w:p w:rsidR="00246A49" w:rsidRPr="00246A49" w:rsidRDefault="00246A49" w:rsidP="00246A49">
      <w:pPr>
        <w:pStyle w:val="Default"/>
        <w:rPr>
          <w:sz w:val="20"/>
          <w:szCs w:val="20"/>
        </w:rPr>
      </w:pPr>
      <w:r w:rsidRPr="00246A49">
        <w:rPr>
          <w:sz w:val="20"/>
          <w:szCs w:val="20"/>
        </w:rPr>
        <w:t>_</w:t>
      </w:r>
      <w:r>
        <w:rPr>
          <w:sz w:val="20"/>
          <w:szCs w:val="20"/>
        </w:rPr>
        <w:t xml:space="preserve"> Physical Forensic Imaging of Computers</w:t>
      </w:r>
    </w:p>
    <w:p w:rsidR="000A48D2" w:rsidRDefault="000A48D2" w:rsidP="000A48D2">
      <w:pPr>
        <w:pStyle w:val="Default"/>
        <w:rPr>
          <w:sz w:val="20"/>
          <w:szCs w:val="20"/>
        </w:rPr>
      </w:pPr>
      <w:r w:rsidRPr="00E95105">
        <w:rPr>
          <w:b/>
          <w:sz w:val="20"/>
          <w:szCs w:val="20"/>
        </w:rPr>
        <w:t xml:space="preserve">SECTION </w:t>
      </w:r>
      <w:r w:rsidR="00246A49">
        <w:rPr>
          <w:b/>
          <w:sz w:val="20"/>
          <w:szCs w:val="20"/>
        </w:rPr>
        <w:t>V</w:t>
      </w:r>
      <w:r w:rsidRPr="00E95105">
        <w:rPr>
          <w:b/>
          <w:sz w:val="20"/>
          <w:szCs w:val="20"/>
        </w:rPr>
        <w:t xml:space="preserve">: </w:t>
      </w:r>
      <w:r w:rsidR="00246A49">
        <w:rPr>
          <w:b/>
          <w:sz w:val="20"/>
          <w:szCs w:val="20"/>
        </w:rPr>
        <w:t>Chain of Custody Documentation</w:t>
      </w:r>
      <w:r>
        <w:rPr>
          <w:sz w:val="20"/>
          <w:szCs w:val="20"/>
        </w:rPr>
        <w:t xml:space="preserve"> </w:t>
      </w:r>
      <w:r w:rsidR="00E95105">
        <w:rPr>
          <w:sz w:val="20"/>
          <w:szCs w:val="20"/>
        </w:rPr>
        <w:t xml:space="preserve">                                              </w:t>
      </w:r>
      <w:r w:rsidR="00246A49">
        <w:rPr>
          <w:sz w:val="20"/>
          <w:szCs w:val="20"/>
        </w:rPr>
        <w:t xml:space="preserve">                                        3</w:t>
      </w:r>
    </w:p>
    <w:p w:rsidR="000A48D2" w:rsidRDefault="000A48D2" w:rsidP="000A48D2">
      <w:pPr>
        <w:pStyle w:val="Default"/>
        <w:rPr>
          <w:sz w:val="20"/>
          <w:szCs w:val="20"/>
        </w:rPr>
      </w:pPr>
      <w:r>
        <w:rPr>
          <w:sz w:val="20"/>
          <w:szCs w:val="20"/>
        </w:rPr>
        <w:t xml:space="preserve">_ Photograph Drawer Details </w:t>
      </w:r>
    </w:p>
    <w:p w:rsidR="000A48D2" w:rsidRDefault="000A48D2" w:rsidP="000A48D2">
      <w:pPr>
        <w:pStyle w:val="Default"/>
        <w:rPr>
          <w:sz w:val="20"/>
          <w:szCs w:val="20"/>
        </w:rPr>
      </w:pPr>
      <w:r>
        <w:rPr>
          <w:sz w:val="20"/>
          <w:szCs w:val="20"/>
        </w:rPr>
        <w:t xml:space="preserve">_ Call Records Drawer </w:t>
      </w:r>
    </w:p>
    <w:p w:rsidR="000A48D2" w:rsidRDefault="000A48D2" w:rsidP="000A48D2">
      <w:pPr>
        <w:pStyle w:val="Default"/>
        <w:rPr>
          <w:sz w:val="20"/>
          <w:szCs w:val="20"/>
        </w:rPr>
      </w:pPr>
      <w:r>
        <w:rPr>
          <w:sz w:val="20"/>
          <w:szCs w:val="20"/>
        </w:rPr>
        <w:t xml:space="preserve">_ Text Message Drawer </w:t>
      </w:r>
    </w:p>
    <w:p w:rsidR="000A48D2" w:rsidRDefault="00246A49" w:rsidP="000A48D2">
      <w:pPr>
        <w:pStyle w:val="Default"/>
        <w:rPr>
          <w:sz w:val="20"/>
          <w:szCs w:val="20"/>
        </w:rPr>
      </w:pPr>
      <w:r>
        <w:rPr>
          <w:b/>
          <w:sz w:val="20"/>
          <w:szCs w:val="20"/>
        </w:rPr>
        <w:t xml:space="preserve">SECTION </w:t>
      </w:r>
      <w:r w:rsidR="000A48D2" w:rsidRPr="00E95105">
        <w:rPr>
          <w:b/>
          <w:sz w:val="20"/>
          <w:szCs w:val="20"/>
        </w:rPr>
        <w:t>V</w:t>
      </w:r>
      <w:r>
        <w:rPr>
          <w:b/>
          <w:sz w:val="20"/>
          <w:szCs w:val="20"/>
        </w:rPr>
        <w:t>I</w:t>
      </w:r>
      <w:r w:rsidR="000A48D2" w:rsidRPr="00E95105">
        <w:rPr>
          <w:b/>
          <w:sz w:val="20"/>
          <w:szCs w:val="20"/>
        </w:rPr>
        <w:t xml:space="preserve">: </w:t>
      </w:r>
      <w:r>
        <w:rPr>
          <w:b/>
          <w:sz w:val="20"/>
          <w:szCs w:val="20"/>
        </w:rPr>
        <w:t>Reasonable Forensic Analysis Triage</w:t>
      </w:r>
      <w:r w:rsidR="00E95105">
        <w:rPr>
          <w:sz w:val="20"/>
          <w:szCs w:val="20"/>
        </w:rPr>
        <w:t xml:space="preserve">                                                                              </w:t>
      </w:r>
      <w:r w:rsidR="0041459F">
        <w:rPr>
          <w:sz w:val="20"/>
          <w:szCs w:val="20"/>
        </w:rPr>
        <w:t xml:space="preserve">  5</w:t>
      </w:r>
      <w:r w:rsidR="000A48D2">
        <w:rPr>
          <w:sz w:val="20"/>
          <w:szCs w:val="20"/>
        </w:rPr>
        <w:t xml:space="preserve"> </w:t>
      </w:r>
    </w:p>
    <w:p w:rsidR="000A48D2" w:rsidRDefault="000A48D2" w:rsidP="000A48D2">
      <w:pPr>
        <w:pStyle w:val="Default"/>
        <w:rPr>
          <w:sz w:val="20"/>
          <w:szCs w:val="20"/>
        </w:rPr>
      </w:pPr>
      <w:r>
        <w:rPr>
          <w:sz w:val="20"/>
          <w:szCs w:val="20"/>
        </w:rPr>
        <w:t xml:space="preserve">_ </w:t>
      </w:r>
      <w:r w:rsidR="0041459F" w:rsidRPr="0041459F">
        <w:rPr>
          <w:sz w:val="20"/>
          <w:szCs w:val="20"/>
        </w:rPr>
        <w:t>Departed Employee Analysis Steps</w:t>
      </w:r>
    </w:p>
    <w:p w:rsidR="0041459F" w:rsidRDefault="0041459F" w:rsidP="0041459F">
      <w:pPr>
        <w:pStyle w:val="Default"/>
        <w:rPr>
          <w:sz w:val="20"/>
          <w:szCs w:val="20"/>
        </w:rPr>
      </w:pPr>
      <w:r w:rsidRPr="00E95105">
        <w:rPr>
          <w:b/>
          <w:sz w:val="20"/>
          <w:szCs w:val="20"/>
        </w:rPr>
        <w:t xml:space="preserve">SECTION </w:t>
      </w:r>
      <w:r>
        <w:rPr>
          <w:b/>
          <w:sz w:val="20"/>
          <w:szCs w:val="20"/>
        </w:rPr>
        <w:t>VI</w:t>
      </w:r>
      <w:r w:rsidRPr="00E95105">
        <w:rPr>
          <w:b/>
          <w:sz w:val="20"/>
          <w:szCs w:val="20"/>
        </w:rPr>
        <w:t xml:space="preserve">I: </w:t>
      </w:r>
      <w:r w:rsidRPr="0041459F">
        <w:rPr>
          <w:b/>
          <w:sz w:val="20"/>
          <w:szCs w:val="20"/>
        </w:rPr>
        <w:t>Special Considerations for Treatment of Smartphones</w:t>
      </w:r>
      <w:r>
        <w:rPr>
          <w:b/>
          <w:sz w:val="20"/>
          <w:szCs w:val="20"/>
        </w:rPr>
        <w:t xml:space="preserve">  </w:t>
      </w:r>
      <w:r>
        <w:rPr>
          <w:sz w:val="20"/>
          <w:szCs w:val="20"/>
        </w:rPr>
        <w:t xml:space="preserve">                 </w:t>
      </w:r>
      <w:r>
        <w:rPr>
          <w:sz w:val="20"/>
          <w:szCs w:val="20"/>
        </w:rPr>
        <w:t xml:space="preserve">                               5</w:t>
      </w:r>
    </w:p>
    <w:p w:rsidR="0041459F" w:rsidRDefault="0041459F" w:rsidP="0041459F">
      <w:pPr>
        <w:pStyle w:val="Default"/>
        <w:rPr>
          <w:sz w:val="20"/>
          <w:szCs w:val="20"/>
        </w:rPr>
      </w:pPr>
      <w:r>
        <w:rPr>
          <w:sz w:val="20"/>
          <w:szCs w:val="20"/>
        </w:rPr>
        <w:t xml:space="preserve">_ Smartphones Contain 10 Basic Cabinet Drawers </w:t>
      </w:r>
    </w:p>
    <w:p w:rsidR="0041459F" w:rsidRDefault="0041459F" w:rsidP="0041459F">
      <w:pPr>
        <w:pStyle w:val="Default"/>
        <w:rPr>
          <w:sz w:val="20"/>
          <w:szCs w:val="20"/>
        </w:rPr>
      </w:pPr>
      <w:r>
        <w:rPr>
          <w:sz w:val="20"/>
          <w:szCs w:val="20"/>
        </w:rPr>
        <w:t xml:space="preserve">_ Some Cabinet Drawers are Locked </w:t>
      </w:r>
    </w:p>
    <w:p w:rsidR="0041459F" w:rsidRDefault="0041459F" w:rsidP="0041459F">
      <w:pPr>
        <w:pStyle w:val="Default"/>
        <w:rPr>
          <w:sz w:val="20"/>
          <w:szCs w:val="20"/>
        </w:rPr>
      </w:pPr>
      <w:r>
        <w:rPr>
          <w:sz w:val="20"/>
          <w:szCs w:val="20"/>
        </w:rPr>
        <w:t xml:space="preserve">_ Contents of the Locked Drawers </w:t>
      </w:r>
    </w:p>
    <w:p w:rsidR="0041459F" w:rsidRDefault="0041459F" w:rsidP="0041459F">
      <w:pPr>
        <w:pStyle w:val="Default"/>
        <w:rPr>
          <w:sz w:val="20"/>
          <w:szCs w:val="20"/>
        </w:rPr>
      </w:pPr>
      <w:r>
        <w:rPr>
          <w:sz w:val="20"/>
          <w:szCs w:val="20"/>
        </w:rPr>
        <w:t xml:space="preserve">_ Some Deleted Evidence Can Be Recovered </w:t>
      </w:r>
      <w:proofErr w:type="gramStart"/>
      <w:r>
        <w:rPr>
          <w:sz w:val="20"/>
          <w:szCs w:val="20"/>
        </w:rPr>
        <w:t>From</w:t>
      </w:r>
      <w:proofErr w:type="gramEnd"/>
      <w:r>
        <w:rPr>
          <w:sz w:val="20"/>
          <w:szCs w:val="20"/>
        </w:rPr>
        <w:t xml:space="preserve"> The Unlocked Drawers </w:t>
      </w:r>
    </w:p>
    <w:p w:rsidR="0041459F" w:rsidRDefault="0041459F" w:rsidP="0041459F">
      <w:pPr>
        <w:pStyle w:val="Default"/>
        <w:rPr>
          <w:sz w:val="20"/>
          <w:szCs w:val="20"/>
        </w:rPr>
      </w:pPr>
      <w:r>
        <w:rPr>
          <w:sz w:val="20"/>
          <w:szCs w:val="20"/>
        </w:rPr>
        <w:t xml:space="preserve">_ Practice Point </w:t>
      </w:r>
    </w:p>
    <w:p w:rsidR="0041459F" w:rsidRDefault="0041459F" w:rsidP="0041459F">
      <w:pPr>
        <w:pStyle w:val="Default"/>
        <w:rPr>
          <w:sz w:val="20"/>
          <w:szCs w:val="20"/>
        </w:rPr>
      </w:pPr>
      <w:r w:rsidRPr="00E95105">
        <w:rPr>
          <w:b/>
          <w:sz w:val="20"/>
          <w:szCs w:val="20"/>
        </w:rPr>
        <w:lastRenderedPageBreak/>
        <w:t xml:space="preserve">SECTION </w:t>
      </w:r>
      <w:r w:rsidR="002B476B">
        <w:rPr>
          <w:b/>
          <w:sz w:val="20"/>
          <w:szCs w:val="20"/>
        </w:rPr>
        <w:t>VI</w:t>
      </w:r>
      <w:r w:rsidRPr="00E95105">
        <w:rPr>
          <w:b/>
          <w:sz w:val="20"/>
          <w:szCs w:val="20"/>
        </w:rPr>
        <w:t xml:space="preserve">II: Alternative Locations </w:t>
      </w:r>
      <w:proofErr w:type="gramStart"/>
      <w:r w:rsidRPr="00E95105">
        <w:rPr>
          <w:b/>
          <w:sz w:val="20"/>
          <w:szCs w:val="20"/>
        </w:rPr>
        <w:t>From</w:t>
      </w:r>
      <w:proofErr w:type="gramEnd"/>
      <w:r w:rsidRPr="00E95105">
        <w:rPr>
          <w:b/>
          <w:sz w:val="20"/>
          <w:szCs w:val="20"/>
        </w:rPr>
        <w:t xml:space="preserve"> Which Smartphone Evidence Can Be Recovered</w:t>
      </w:r>
      <w:r>
        <w:rPr>
          <w:sz w:val="20"/>
          <w:szCs w:val="20"/>
        </w:rPr>
        <w:t xml:space="preserve"> </w:t>
      </w:r>
      <w:r w:rsidR="002B476B">
        <w:rPr>
          <w:sz w:val="20"/>
          <w:szCs w:val="20"/>
        </w:rPr>
        <w:t xml:space="preserve">         3      </w:t>
      </w:r>
    </w:p>
    <w:p w:rsidR="0041459F" w:rsidRDefault="0041459F" w:rsidP="0041459F">
      <w:pPr>
        <w:pStyle w:val="Default"/>
        <w:rPr>
          <w:sz w:val="20"/>
          <w:szCs w:val="20"/>
        </w:rPr>
      </w:pPr>
      <w:r>
        <w:rPr>
          <w:sz w:val="20"/>
          <w:szCs w:val="20"/>
        </w:rPr>
        <w:t xml:space="preserve">_ Mobile Backups (iTunes &amp; iCloud) </w:t>
      </w:r>
    </w:p>
    <w:p w:rsidR="0041459F" w:rsidRDefault="0041459F" w:rsidP="0041459F">
      <w:pPr>
        <w:pStyle w:val="Default"/>
        <w:rPr>
          <w:sz w:val="20"/>
          <w:szCs w:val="20"/>
        </w:rPr>
      </w:pPr>
      <w:r>
        <w:rPr>
          <w:sz w:val="20"/>
          <w:szCs w:val="20"/>
        </w:rPr>
        <w:t xml:space="preserve">_ Examples of Evidence Stored in iTunes Backups </w:t>
      </w:r>
    </w:p>
    <w:p w:rsidR="0041459F" w:rsidRDefault="0041459F" w:rsidP="0041459F">
      <w:pPr>
        <w:pStyle w:val="Default"/>
        <w:rPr>
          <w:sz w:val="20"/>
          <w:szCs w:val="20"/>
        </w:rPr>
      </w:pPr>
      <w:r>
        <w:rPr>
          <w:sz w:val="20"/>
          <w:szCs w:val="20"/>
        </w:rPr>
        <w:t xml:space="preserve">_ Practice Point </w:t>
      </w:r>
    </w:p>
    <w:p w:rsidR="0041459F" w:rsidRDefault="0041459F" w:rsidP="0041459F">
      <w:pPr>
        <w:pStyle w:val="Default"/>
        <w:rPr>
          <w:sz w:val="20"/>
          <w:szCs w:val="20"/>
        </w:rPr>
      </w:pPr>
      <w:r w:rsidRPr="00E95105">
        <w:rPr>
          <w:b/>
          <w:sz w:val="20"/>
          <w:szCs w:val="20"/>
        </w:rPr>
        <w:t xml:space="preserve">SECTION </w:t>
      </w:r>
      <w:r w:rsidR="002B476B">
        <w:rPr>
          <w:b/>
          <w:sz w:val="20"/>
          <w:szCs w:val="20"/>
        </w:rPr>
        <w:t>IX</w:t>
      </w:r>
      <w:r w:rsidRPr="00E95105">
        <w:rPr>
          <w:b/>
          <w:sz w:val="20"/>
          <w:szCs w:val="20"/>
        </w:rPr>
        <w:t>: Examples of Smartphone File Cabinet Drawer Contents</w:t>
      </w:r>
      <w:r>
        <w:rPr>
          <w:sz w:val="20"/>
          <w:szCs w:val="20"/>
        </w:rPr>
        <w:t xml:space="preserve">                                               </w:t>
      </w:r>
      <w:r w:rsidR="002B476B">
        <w:rPr>
          <w:sz w:val="20"/>
          <w:szCs w:val="20"/>
        </w:rPr>
        <w:t xml:space="preserve"> 3</w:t>
      </w:r>
      <w:r>
        <w:rPr>
          <w:sz w:val="20"/>
          <w:szCs w:val="20"/>
        </w:rPr>
        <w:t xml:space="preserve"> </w:t>
      </w:r>
    </w:p>
    <w:p w:rsidR="0041459F" w:rsidRDefault="0041459F" w:rsidP="0041459F">
      <w:pPr>
        <w:pStyle w:val="Default"/>
        <w:rPr>
          <w:sz w:val="20"/>
          <w:szCs w:val="20"/>
        </w:rPr>
      </w:pPr>
      <w:r>
        <w:rPr>
          <w:sz w:val="20"/>
          <w:szCs w:val="20"/>
        </w:rPr>
        <w:t xml:space="preserve">_ Photograph Drawer Details </w:t>
      </w:r>
    </w:p>
    <w:p w:rsidR="0041459F" w:rsidRDefault="0041459F" w:rsidP="0041459F">
      <w:pPr>
        <w:pStyle w:val="Default"/>
        <w:rPr>
          <w:sz w:val="20"/>
          <w:szCs w:val="20"/>
        </w:rPr>
      </w:pPr>
      <w:r>
        <w:rPr>
          <w:sz w:val="20"/>
          <w:szCs w:val="20"/>
        </w:rPr>
        <w:t xml:space="preserve">_ Call Records Drawer </w:t>
      </w:r>
    </w:p>
    <w:p w:rsidR="0041459F" w:rsidRDefault="0041459F" w:rsidP="0041459F">
      <w:pPr>
        <w:pStyle w:val="Default"/>
        <w:rPr>
          <w:sz w:val="20"/>
          <w:szCs w:val="20"/>
        </w:rPr>
      </w:pPr>
      <w:r>
        <w:rPr>
          <w:sz w:val="20"/>
          <w:szCs w:val="20"/>
        </w:rPr>
        <w:t xml:space="preserve">_ Text Message Drawer </w:t>
      </w:r>
    </w:p>
    <w:p w:rsidR="0041459F" w:rsidRDefault="002B476B" w:rsidP="0041459F">
      <w:pPr>
        <w:pStyle w:val="Default"/>
        <w:rPr>
          <w:sz w:val="20"/>
          <w:szCs w:val="20"/>
        </w:rPr>
      </w:pPr>
      <w:r>
        <w:rPr>
          <w:b/>
          <w:sz w:val="20"/>
          <w:szCs w:val="20"/>
        </w:rPr>
        <w:t>SECTION X</w:t>
      </w:r>
      <w:r w:rsidR="0041459F" w:rsidRPr="00E95105">
        <w:rPr>
          <w:b/>
          <w:sz w:val="20"/>
          <w:szCs w:val="20"/>
        </w:rPr>
        <w:t>: Location Based Evidence</w:t>
      </w:r>
      <w:r w:rsidR="0041459F">
        <w:rPr>
          <w:sz w:val="20"/>
          <w:szCs w:val="20"/>
        </w:rPr>
        <w:t xml:space="preserve">                                                                                                  </w:t>
      </w:r>
      <w:r>
        <w:rPr>
          <w:sz w:val="20"/>
          <w:szCs w:val="20"/>
        </w:rPr>
        <w:t xml:space="preserve">   5</w:t>
      </w:r>
      <w:r w:rsidR="0041459F">
        <w:rPr>
          <w:sz w:val="20"/>
          <w:szCs w:val="20"/>
        </w:rPr>
        <w:t xml:space="preserve"> </w:t>
      </w:r>
    </w:p>
    <w:p w:rsidR="0041459F" w:rsidRDefault="0041459F" w:rsidP="0041459F">
      <w:pPr>
        <w:pStyle w:val="Default"/>
        <w:rPr>
          <w:sz w:val="20"/>
          <w:szCs w:val="20"/>
        </w:rPr>
      </w:pPr>
      <w:r>
        <w:rPr>
          <w:sz w:val="20"/>
          <w:szCs w:val="20"/>
        </w:rPr>
        <w:t xml:space="preserve">_ Photos and Facebook Message Locations </w:t>
      </w:r>
    </w:p>
    <w:p w:rsidR="0041459F" w:rsidRDefault="0041459F" w:rsidP="0041459F">
      <w:pPr>
        <w:pStyle w:val="Default"/>
        <w:rPr>
          <w:sz w:val="20"/>
          <w:szCs w:val="20"/>
        </w:rPr>
      </w:pPr>
      <w:r>
        <w:rPr>
          <w:sz w:val="20"/>
          <w:szCs w:val="20"/>
        </w:rPr>
        <w:t xml:space="preserve">_ Map Queries </w:t>
      </w:r>
    </w:p>
    <w:p w:rsidR="0041459F" w:rsidRDefault="0041459F" w:rsidP="0041459F">
      <w:pPr>
        <w:pStyle w:val="Default"/>
        <w:rPr>
          <w:sz w:val="20"/>
          <w:szCs w:val="20"/>
        </w:rPr>
      </w:pPr>
      <w:r>
        <w:rPr>
          <w:sz w:val="20"/>
          <w:szCs w:val="20"/>
        </w:rPr>
        <w:t xml:space="preserve">_ Location Based Evidence War Story </w:t>
      </w:r>
    </w:p>
    <w:p w:rsidR="0041459F" w:rsidRDefault="0041459F" w:rsidP="0041459F">
      <w:pPr>
        <w:pStyle w:val="Default"/>
        <w:rPr>
          <w:rFonts w:ascii="Calibri" w:hAnsi="Calibri" w:cs="Calibri"/>
          <w:color w:val="auto"/>
          <w:sz w:val="22"/>
          <w:szCs w:val="22"/>
        </w:rPr>
      </w:pPr>
      <w:r>
        <w:rPr>
          <w:sz w:val="20"/>
          <w:szCs w:val="20"/>
        </w:rPr>
        <w:t xml:space="preserve">_ Location Based Evidence Practice Point </w:t>
      </w:r>
      <w:r>
        <w:rPr>
          <w:rFonts w:ascii="Calibri" w:hAnsi="Calibri" w:cs="Calibri"/>
          <w:color w:val="auto"/>
          <w:sz w:val="22"/>
          <w:szCs w:val="22"/>
        </w:rPr>
        <w:t xml:space="preserve"> </w:t>
      </w:r>
    </w:p>
    <w:p w:rsidR="0041459F" w:rsidRDefault="002B476B" w:rsidP="0041459F">
      <w:pPr>
        <w:pStyle w:val="Default"/>
        <w:rPr>
          <w:color w:val="auto"/>
          <w:sz w:val="20"/>
          <w:szCs w:val="20"/>
        </w:rPr>
      </w:pPr>
      <w:r>
        <w:rPr>
          <w:b/>
          <w:color w:val="auto"/>
          <w:sz w:val="20"/>
          <w:szCs w:val="20"/>
        </w:rPr>
        <w:t>SECTION XI</w:t>
      </w:r>
      <w:r w:rsidR="0041459F" w:rsidRPr="00BB7B6E">
        <w:rPr>
          <w:b/>
          <w:color w:val="auto"/>
          <w:sz w:val="20"/>
          <w:szCs w:val="20"/>
        </w:rPr>
        <w:t>: Timelines &amp; Chronological Photography Reports</w:t>
      </w:r>
      <w:r w:rsidR="0041459F">
        <w:rPr>
          <w:color w:val="auto"/>
          <w:sz w:val="20"/>
          <w:szCs w:val="20"/>
        </w:rPr>
        <w:t xml:space="preserve">                                                           </w:t>
      </w:r>
      <w:r>
        <w:rPr>
          <w:color w:val="auto"/>
          <w:sz w:val="20"/>
          <w:szCs w:val="20"/>
        </w:rPr>
        <w:t xml:space="preserve"> 5</w:t>
      </w:r>
    </w:p>
    <w:p w:rsidR="0041459F" w:rsidRDefault="0041459F" w:rsidP="0041459F">
      <w:pPr>
        <w:pStyle w:val="Default"/>
        <w:rPr>
          <w:color w:val="auto"/>
          <w:sz w:val="20"/>
          <w:szCs w:val="20"/>
        </w:rPr>
      </w:pPr>
      <w:r>
        <w:rPr>
          <w:color w:val="auto"/>
          <w:sz w:val="20"/>
          <w:szCs w:val="20"/>
        </w:rPr>
        <w:t xml:space="preserve">_ Chronological Photography Reports </w:t>
      </w:r>
    </w:p>
    <w:p w:rsidR="0041459F" w:rsidRDefault="0041459F" w:rsidP="0041459F">
      <w:pPr>
        <w:pStyle w:val="Default"/>
        <w:rPr>
          <w:color w:val="auto"/>
          <w:sz w:val="20"/>
          <w:szCs w:val="20"/>
        </w:rPr>
      </w:pPr>
      <w:r>
        <w:rPr>
          <w:color w:val="auto"/>
          <w:sz w:val="20"/>
          <w:szCs w:val="20"/>
        </w:rPr>
        <w:t xml:space="preserve">_ Example timeline from a Smartphone </w:t>
      </w:r>
    </w:p>
    <w:p w:rsidR="0041459F" w:rsidRDefault="0041459F" w:rsidP="0041459F">
      <w:pPr>
        <w:pStyle w:val="Default"/>
        <w:rPr>
          <w:color w:val="auto"/>
          <w:sz w:val="20"/>
          <w:szCs w:val="20"/>
        </w:rPr>
      </w:pPr>
      <w:r>
        <w:rPr>
          <w:color w:val="auto"/>
          <w:sz w:val="20"/>
          <w:szCs w:val="20"/>
        </w:rPr>
        <w:t xml:space="preserve">_ An iPhone Mobile Backup War Story </w:t>
      </w:r>
    </w:p>
    <w:p w:rsidR="0041459F" w:rsidRDefault="002B476B" w:rsidP="0041459F">
      <w:pPr>
        <w:pStyle w:val="Default"/>
        <w:rPr>
          <w:color w:val="auto"/>
          <w:sz w:val="20"/>
          <w:szCs w:val="20"/>
        </w:rPr>
      </w:pPr>
      <w:r>
        <w:rPr>
          <w:b/>
          <w:color w:val="auto"/>
          <w:sz w:val="20"/>
          <w:szCs w:val="20"/>
        </w:rPr>
        <w:t>SECTION XII</w:t>
      </w:r>
      <w:r w:rsidR="0041459F" w:rsidRPr="00BB7B6E">
        <w:rPr>
          <w:b/>
          <w:color w:val="auto"/>
          <w:sz w:val="20"/>
          <w:szCs w:val="20"/>
        </w:rPr>
        <w:t>: Moving to the Offensive, Elements of an Agreed Order</w:t>
      </w:r>
      <w:r w:rsidR="0041459F">
        <w:rPr>
          <w:color w:val="auto"/>
          <w:sz w:val="20"/>
          <w:szCs w:val="20"/>
        </w:rPr>
        <w:t xml:space="preserve">                    </w:t>
      </w:r>
      <w:r>
        <w:rPr>
          <w:color w:val="auto"/>
          <w:sz w:val="20"/>
          <w:szCs w:val="20"/>
        </w:rPr>
        <w:t xml:space="preserve">                              </w:t>
      </w:r>
      <w:r w:rsidR="0041459F">
        <w:rPr>
          <w:color w:val="auto"/>
          <w:sz w:val="20"/>
          <w:szCs w:val="20"/>
        </w:rPr>
        <w:t xml:space="preserve">5 </w:t>
      </w:r>
    </w:p>
    <w:p w:rsidR="0041459F" w:rsidRDefault="0041459F" w:rsidP="0041459F">
      <w:pPr>
        <w:pStyle w:val="Default"/>
        <w:rPr>
          <w:color w:val="auto"/>
          <w:sz w:val="20"/>
          <w:szCs w:val="20"/>
        </w:rPr>
      </w:pPr>
      <w:r>
        <w:rPr>
          <w:color w:val="auto"/>
          <w:sz w:val="20"/>
          <w:szCs w:val="20"/>
        </w:rPr>
        <w:t xml:space="preserve">_ Specific devices and accounts to be imaged and examined </w:t>
      </w:r>
    </w:p>
    <w:p w:rsidR="0041459F" w:rsidRDefault="0041459F" w:rsidP="0041459F">
      <w:pPr>
        <w:pStyle w:val="Default"/>
        <w:rPr>
          <w:color w:val="auto"/>
          <w:sz w:val="20"/>
          <w:szCs w:val="20"/>
        </w:rPr>
      </w:pPr>
      <w:r>
        <w:rPr>
          <w:color w:val="auto"/>
          <w:sz w:val="20"/>
          <w:szCs w:val="20"/>
        </w:rPr>
        <w:t xml:space="preserve">_ Limiting date range and key word filters </w:t>
      </w:r>
    </w:p>
    <w:p w:rsidR="0041459F" w:rsidRDefault="0041459F" w:rsidP="0041459F">
      <w:pPr>
        <w:pStyle w:val="Default"/>
        <w:rPr>
          <w:color w:val="auto"/>
          <w:sz w:val="20"/>
          <w:szCs w:val="20"/>
        </w:rPr>
      </w:pPr>
      <w:r>
        <w:rPr>
          <w:color w:val="auto"/>
          <w:sz w:val="20"/>
          <w:szCs w:val="20"/>
        </w:rPr>
        <w:t xml:space="preserve">_ Privilege review process </w:t>
      </w:r>
    </w:p>
    <w:p w:rsidR="0041459F" w:rsidRDefault="0041459F" w:rsidP="0041459F">
      <w:pPr>
        <w:pStyle w:val="Default"/>
        <w:rPr>
          <w:color w:val="auto"/>
          <w:sz w:val="20"/>
          <w:szCs w:val="20"/>
        </w:rPr>
      </w:pPr>
      <w:r>
        <w:rPr>
          <w:color w:val="auto"/>
          <w:sz w:val="20"/>
          <w:szCs w:val="20"/>
        </w:rPr>
        <w:t xml:space="preserve">_ Key word responsive review and production process </w:t>
      </w:r>
    </w:p>
    <w:p w:rsidR="0041459F" w:rsidRDefault="002B476B" w:rsidP="0041459F">
      <w:pPr>
        <w:pStyle w:val="Default"/>
        <w:rPr>
          <w:color w:val="auto"/>
          <w:sz w:val="20"/>
          <w:szCs w:val="20"/>
        </w:rPr>
      </w:pPr>
      <w:r>
        <w:rPr>
          <w:b/>
          <w:color w:val="auto"/>
          <w:sz w:val="20"/>
          <w:szCs w:val="20"/>
        </w:rPr>
        <w:t>SECTION XII</w:t>
      </w:r>
      <w:r w:rsidR="0041459F" w:rsidRPr="00BB7B6E">
        <w:rPr>
          <w:b/>
          <w:color w:val="auto"/>
          <w:sz w:val="20"/>
          <w:szCs w:val="20"/>
        </w:rPr>
        <w:t>I: Reasonable Attorney-Client Communication Security Measures</w:t>
      </w:r>
      <w:r w:rsidR="0041459F">
        <w:rPr>
          <w:color w:val="auto"/>
          <w:sz w:val="20"/>
          <w:szCs w:val="20"/>
        </w:rPr>
        <w:t xml:space="preserve">   </w:t>
      </w:r>
      <w:r>
        <w:rPr>
          <w:color w:val="auto"/>
          <w:sz w:val="20"/>
          <w:szCs w:val="20"/>
        </w:rPr>
        <w:t xml:space="preserve">                              </w:t>
      </w:r>
      <w:r w:rsidR="0041459F">
        <w:rPr>
          <w:color w:val="auto"/>
          <w:sz w:val="20"/>
          <w:szCs w:val="20"/>
        </w:rPr>
        <w:t xml:space="preserve">5 </w:t>
      </w:r>
    </w:p>
    <w:p w:rsidR="0041459F" w:rsidRDefault="0041459F" w:rsidP="0041459F">
      <w:pPr>
        <w:pStyle w:val="Default"/>
        <w:rPr>
          <w:color w:val="auto"/>
          <w:sz w:val="20"/>
          <w:szCs w:val="20"/>
        </w:rPr>
      </w:pPr>
      <w:r>
        <w:rPr>
          <w:color w:val="auto"/>
          <w:sz w:val="20"/>
          <w:szCs w:val="20"/>
        </w:rPr>
        <w:t xml:space="preserve">_ Three Easy Ways to Spy on One Another </w:t>
      </w:r>
    </w:p>
    <w:p w:rsidR="0041459F" w:rsidRDefault="0041459F" w:rsidP="0041459F">
      <w:pPr>
        <w:pStyle w:val="Default"/>
        <w:rPr>
          <w:color w:val="auto"/>
          <w:sz w:val="20"/>
          <w:szCs w:val="20"/>
        </w:rPr>
      </w:pPr>
      <w:r>
        <w:rPr>
          <w:color w:val="auto"/>
          <w:sz w:val="20"/>
          <w:szCs w:val="20"/>
        </w:rPr>
        <w:t xml:space="preserve">_ Physical Access Questionnaire </w:t>
      </w:r>
    </w:p>
    <w:p w:rsidR="0041459F" w:rsidRDefault="0041459F" w:rsidP="0041459F">
      <w:pPr>
        <w:pStyle w:val="Default"/>
        <w:rPr>
          <w:color w:val="auto"/>
          <w:sz w:val="20"/>
          <w:szCs w:val="20"/>
        </w:rPr>
      </w:pPr>
      <w:r>
        <w:rPr>
          <w:color w:val="auto"/>
          <w:sz w:val="20"/>
          <w:szCs w:val="20"/>
        </w:rPr>
        <w:t xml:space="preserve">_ Three Communication Privacy Preservation Measures </w:t>
      </w:r>
    </w:p>
    <w:p w:rsidR="0041459F" w:rsidRDefault="0041459F" w:rsidP="0041459F">
      <w:pPr>
        <w:pStyle w:val="Default"/>
        <w:rPr>
          <w:color w:val="auto"/>
          <w:sz w:val="20"/>
          <w:szCs w:val="20"/>
        </w:rPr>
      </w:pPr>
      <w:r>
        <w:rPr>
          <w:color w:val="auto"/>
          <w:sz w:val="20"/>
          <w:szCs w:val="20"/>
        </w:rPr>
        <w:t xml:space="preserve">_ Possible Scenarios </w:t>
      </w:r>
      <w:proofErr w:type="gramStart"/>
      <w:r>
        <w:rPr>
          <w:color w:val="auto"/>
          <w:sz w:val="20"/>
          <w:szCs w:val="20"/>
        </w:rPr>
        <w:t>For</w:t>
      </w:r>
      <w:proofErr w:type="gramEnd"/>
      <w:r>
        <w:rPr>
          <w:color w:val="auto"/>
          <w:sz w:val="20"/>
          <w:szCs w:val="20"/>
        </w:rPr>
        <w:t xml:space="preserve"> Your Own Practice </w:t>
      </w:r>
    </w:p>
    <w:p w:rsidR="0041459F" w:rsidRDefault="0041459F" w:rsidP="00984914">
      <w:pPr>
        <w:pStyle w:val="Default"/>
        <w:rPr>
          <w:bCs/>
          <w:color w:val="auto"/>
          <w:sz w:val="20"/>
          <w:szCs w:val="20"/>
        </w:rPr>
      </w:pPr>
      <w:r w:rsidRPr="002C759D">
        <w:rPr>
          <w:b/>
          <w:color w:val="auto"/>
          <w:sz w:val="20"/>
          <w:szCs w:val="20"/>
        </w:rPr>
        <w:t xml:space="preserve">SECTION </w:t>
      </w:r>
      <w:r w:rsidR="00984914">
        <w:rPr>
          <w:b/>
          <w:color w:val="auto"/>
          <w:sz w:val="20"/>
          <w:szCs w:val="20"/>
        </w:rPr>
        <w:t>XI</w:t>
      </w:r>
      <w:r w:rsidRPr="002C759D">
        <w:rPr>
          <w:b/>
          <w:color w:val="auto"/>
          <w:sz w:val="20"/>
          <w:szCs w:val="20"/>
        </w:rPr>
        <w:t xml:space="preserve">V:  </w:t>
      </w:r>
      <w:r w:rsidRPr="00D54CA6">
        <w:rPr>
          <w:b/>
          <w:bCs/>
          <w:color w:val="auto"/>
          <w:sz w:val="20"/>
          <w:szCs w:val="20"/>
        </w:rPr>
        <w:t>Civil Subpoena for Carrier Call and Text Message Records</w:t>
      </w:r>
      <w:r>
        <w:rPr>
          <w:b/>
          <w:bCs/>
          <w:color w:val="auto"/>
          <w:sz w:val="20"/>
          <w:szCs w:val="20"/>
        </w:rPr>
        <w:t xml:space="preserve">         </w:t>
      </w:r>
      <w:r w:rsidR="00984914">
        <w:rPr>
          <w:b/>
          <w:bCs/>
          <w:color w:val="auto"/>
          <w:sz w:val="20"/>
          <w:szCs w:val="20"/>
        </w:rPr>
        <w:t xml:space="preserve">                               </w:t>
      </w:r>
      <w:r w:rsidR="00984914">
        <w:rPr>
          <w:bCs/>
          <w:color w:val="auto"/>
          <w:sz w:val="20"/>
          <w:szCs w:val="20"/>
        </w:rPr>
        <w:t>3</w:t>
      </w:r>
    </w:p>
    <w:p w:rsidR="0041459F" w:rsidRDefault="0041459F" w:rsidP="0041459F">
      <w:pPr>
        <w:pStyle w:val="Default"/>
        <w:rPr>
          <w:bCs/>
          <w:color w:val="auto"/>
          <w:sz w:val="20"/>
          <w:szCs w:val="20"/>
        </w:rPr>
      </w:pPr>
      <w:r>
        <w:rPr>
          <w:b/>
          <w:bCs/>
          <w:color w:val="auto"/>
          <w:sz w:val="20"/>
          <w:szCs w:val="20"/>
        </w:rPr>
        <w:t xml:space="preserve">_ </w:t>
      </w:r>
      <w:r w:rsidRPr="00D54CA6">
        <w:rPr>
          <w:bCs/>
          <w:color w:val="auto"/>
          <w:sz w:val="20"/>
          <w:szCs w:val="20"/>
        </w:rPr>
        <w:t>Subpoena to Acquire Key Information About Respondent</w:t>
      </w:r>
    </w:p>
    <w:p w:rsidR="0041459F" w:rsidRDefault="0041459F" w:rsidP="0041459F">
      <w:pPr>
        <w:pStyle w:val="Default"/>
        <w:rPr>
          <w:bCs/>
          <w:color w:val="auto"/>
          <w:sz w:val="20"/>
          <w:szCs w:val="20"/>
        </w:rPr>
      </w:pPr>
      <w:r>
        <w:rPr>
          <w:b/>
          <w:bCs/>
          <w:color w:val="auto"/>
          <w:sz w:val="20"/>
          <w:szCs w:val="20"/>
        </w:rPr>
        <w:t xml:space="preserve">_ </w:t>
      </w:r>
      <w:r w:rsidRPr="00D54CA6">
        <w:rPr>
          <w:bCs/>
          <w:color w:val="auto"/>
          <w:sz w:val="20"/>
          <w:szCs w:val="20"/>
        </w:rPr>
        <w:t>Cell Phones Have Multiple Types of Unique Identifying Serial Numbers to Request and Be Aware Of</w:t>
      </w:r>
    </w:p>
    <w:p w:rsidR="0041459F" w:rsidRDefault="0041459F" w:rsidP="0041459F">
      <w:pPr>
        <w:pStyle w:val="Default"/>
        <w:rPr>
          <w:bCs/>
          <w:color w:val="auto"/>
          <w:sz w:val="20"/>
          <w:szCs w:val="20"/>
        </w:rPr>
      </w:pPr>
      <w:r>
        <w:rPr>
          <w:bCs/>
          <w:color w:val="auto"/>
          <w:sz w:val="20"/>
          <w:szCs w:val="20"/>
        </w:rPr>
        <w:t xml:space="preserve">_ </w:t>
      </w:r>
      <w:r w:rsidRPr="00D54CA6">
        <w:rPr>
          <w:bCs/>
          <w:color w:val="auto"/>
          <w:sz w:val="20"/>
          <w:szCs w:val="20"/>
        </w:rPr>
        <w:t>A War Story Involving IMEI and IMSI Numbers</w:t>
      </w:r>
    </w:p>
    <w:p w:rsidR="002C759D" w:rsidRDefault="002C759D" w:rsidP="000A48D2">
      <w:pPr>
        <w:pStyle w:val="Default"/>
        <w:rPr>
          <w:color w:val="auto"/>
          <w:sz w:val="20"/>
          <w:szCs w:val="20"/>
        </w:rPr>
      </w:pPr>
    </w:p>
    <w:p w:rsidR="002C759D" w:rsidRDefault="002C759D" w:rsidP="000A48D2">
      <w:pPr>
        <w:pStyle w:val="Default"/>
        <w:rPr>
          <w:color w:val="auto"/>
          <w:sz w:val="20"/>
          <w:szCs w:val="20"/>
        </w:rPr>
      </w:pPr>
    </w:p>
    <w:p w:rsidR="00BB7B6E" w:rsidRDefault="00BB7B6E" w:rsidP="000A48D2">
      <w:pPr>
        <w:pStyle w:val="Default"/>
        <w:rPr>
          <w:color w:val="auto"/>
          <w:sz w:val="20"/>
          <w:szCs w:val="20"/>
        </w:rPr>
      </w:pPr>
    </w:p>
    <w:p w:rsidR="000A48D2" w:rsidRDefault="000A48D2" w:rsidP="00BB7B6E">
      <w:pPr>
        <w:pStyle w:val="Default"/>
        <w:jc w:val="center"/>
        <w:rPr>
          <w:color w:val="auto"/>
          <w:sz w:val="20"/>
          <w:szCs w:val="20"/>
        </w:rPr>
      </w:pPr>
      <w:r>
        <w:rPr>
          <w:color w:val="auto"/>
          <w:sz w:val="20"/>
          <w:szCs w:val="20"/>
        </w:rPr>
        <w:t>***End of Program***</w:t>
      </w:r>
    </w:p>
    <w:p w:rsidR="00BB7B6E" w:rsidRDefault="00BB7B6E" w:rsidP="000A48D2">
      <w:pPr>
        <w:rPr>
          <w:sz w:val="20"/>
          <w:szCs w:val="20"/>
        </w:rPr>
      </w:pPr>
    </w:p>
    <w:p w:rsidR="004B229F" w:rsidRDefault="000A48D2" w:rsidP="00BB7B6E">
      <w:pPr>
        <w:jc w:val="center"/>
      </w:pPr>
      <w:r>
        <w:rPr>
          <w:sz w:val="20"/>
          <w:szCs w:val="20"/>
        </w:rPr>
        <w:t>Total Time Commitment: 70 minutes Total Time of Instruction: 60 minutes</w:t>
      </w:r>
    </w:p>
    <w:sectPr w:rsidR="004B229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00" w:rsidRDefault="00DC6E00" w:rsidP="00E95105">
      <w:pPr>
        <w:spacing w:after="0" w:line="240" w:lineRule="auto"/>
      </w:pPr>
      <w:r>
        <w:separator/>
      </w:r>
    </w:p>
  </w:endnote>
  <w:endnote w:type="continuationSeparator" w:id="0">
    <w:p w:rsidR="00DC6E00" w:rsidRDefault="00DC6E00" w:rsidP="00E9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05" w:rsidRDefault="00E95105" w:rsidP="00E95105">
    <w:pPr>
      <w:pStyle w:val="Footer"/>
      <w:jc w:val="center"/>
    </w:pPr>
    <w:r>
      <w:rPr>
        <w:rFonts w:ascii="Garamond" w:hAnsi="Garamond" w:cs="Garamond"/>
        <w:b/>
        <w:bCs/>
        <w:sz w:val="27"/>
        <w:szCs w:val="27"/>
      </w:rPr>
      <w:t>Forensics | Hosting | Court Reporting | Trial</w:t>
    </w:r>
  </w:p>
  <w:p w:rsidR="00E95105" w:rsidRDefault="00E95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00" w:rsidRDefault="00DC6E00" w:rsidP="00E95105">
      <w:pPr>
        <w:spacing w:after="0" w:line="240" w:lineRule="auto"/>
      </w:pPr>
      <w:r>
        <w:separator/>
      </w:r>
    </w:p>
  </w:footnote>
  <w:footnote w:type="continuationSeparator" w:id="0">
    <w:p w:rsidR="00DC6E00" w:rsidRDefault="00DC6E00" w:rsidP="00E9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05" w:rsidRDefault="00E95105">
    <w:pPr>
      <w:pStyle w:val="Header"/>
    </w:pPr>
    <w:r w:rsidRPr="002C4AD4">
      <w:rPr>
        <w:rFonts w:ascii="Garamond" w:hAnsi="Garamond"/>
        <w:b/>
        <w:noProof/>
        <w:color w:val="808080" w:themeColor="background1" w:themeShade="80"/>
        <w:sz w:val="18"/>
        <w:szCs w:val="18"/>
      </w:rPr>
      <w:drawing>
        <wp:anchor distT="0" distB="0" distL="114300" distR="114300" simplePos="0" relativeHeight="251659264" behindDoc="0" locked="0" layoutInCell="1" allowOverlap="1" wp14:anchorId="640BBF37" wp14:editId="31B38D1A">
          <wp:simplePos x="0" y="0"/>
          <wp:positionH relativeFrom="margin">
            <wp:align>left</wp:align>
          </wp:positionH>
          <wp:positionV relativeFrom="paragraph">
            <wp:posOffset>0</wp:posOffset>
          </wp:positionV>
          <wp:extent cx="539485" cy="453390"/>
          <wp:effectExtent l="0" t="0" r="0" b="3810"/>
          <wp:wrapNone/>
          <wp:docPr id="2" name="Picture 0" descr="Logo - 5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500X450.jpg"/>
                  <pic:cNvPicPr/>
                </pic:nvPicPr>
                <pic:blipFill>
                  <a:blip r:embed="rId1"/>
                  <a:stretch>
                    <a:fillRect/>
                  </a:stretch>
                </pic:blipFill>
                <pic:spPr>
                  <a:xfrm>
                    <a:off x="0" y="0"/>
                    <a:ext cx="539485" cy="453390"/>
                  </a:xfrm>
                  <a:prstGeom prst="rect">
                    <a:avLst/>
                  </a:prstGeom>
                </pic:spPr>
              </pic:pic>
            </a:graphicData>
          </a:graphic>
          <wp14:sizeRelH relativeFrom="margin">
            <wp14:pctWidth>0</wp14:pctWidth>
          </wp14:sizeRelH>
          <wp14:sizeRelV relativeFrom="margin">
            <wp14:pctHeight>0</wp14:pctHeight>
          </wp14:sizeRelV>
        </wp:anchor>
      </w:drawing>
    </w:r>
  </w:p>
  <w:p w:rsidR="00E95105" w:rsidRDefault="00E95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D2"/>
    <w:rsid w:val="000A48D2"/>
    <w:rsid w:val="00246A49"/>
    <w:rsid w:val="002B476B"/>
    <w:rsid w:val="002C759D"/>
    <w:rsid w:val="002F43F6"/>
    <w:rsid w:val="0041459F"/>
    <w:rsid w:val="004B229F"/>
    <w:rsid w:val="008A3184"/>
    <w:rsid w:val="00984914"/>
    <w:rsid w:val="00BB7B6E"/>
    <w:rsid w:val="00D54CA6"/>
    <w:rsid w:val="00DC6E00"/>
    <w:rsid w:val="00E95105"/>
    <w:rsid w:val="00F9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97F4"/>
  <w15:chartTrackingRefBased/>
  <w15:docId w15:val="{FE1D7CA8-C68C-4881-9EFD-CC06E0C2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8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95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105"/>
  </w:style>
  <w:style w:type="paragraph" w:styleId="Footer">
    <w:name w:val="footer"/>
    <w:basedOn w:val="Normal"/>
    <w:link w:val="FooterChar"/>
    <w:uiPriority w:val="99"/>
    <w:unhideWhenUsed/>
    <w:rsid w:val="00E95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105"/>
  </w:style>
  <w:style w:type="paragraph" w:styleId="NormalWeb">
    <w:name w:val="Normal (Web)"/>
    <w:basedOn w:val="Normal"/>
    <w:uiPriority w:val="99"/>
    <w:semiHidden/>
    <w:unhideWhenUsed/>
    <w:rsid w:val="00F90B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Lieb</dc:creator>
  <cp:keywords/>
  <dc:description/>
  <cp:lastModifiedBy>Larry Lieb</cp:lastModifiedBy>
  <cp:revision>6</cp:revision>
  <dcterms:created xsi:type="dcterms:W3CDTF">2017-04-10T03:05:00Z</dcterms:created>
  <dcterms:modified xsi:type="dcterms:W3CDTF">2017-04-10T03:25:00Z</dcterms:modified>
</cp:coreProperties>
</file>